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78CFED" w14:textId="72544B61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Pr="00CE0424">
        <w:t xml:space="preserve"> #</w:t>
      </w:r>
      <w:r w:rsidR="007730BD">
        <w:t>9</w:t>
      </w:r>
      <w:r w:rsidR="00531534">
        <w:t>6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465F3A">
        <w:rPr>
          <w:sz w:val="32"/>
          <w:szCs w:val="32"/>
        </w:rPr>
        <w:t>6</w:t>
      </w:r>
      <w:r w:rsidR="00C62FD9">
        <w:rPr>
          <w:sz w:val="32"/>
          <w:szCs w:val="32"/>
        </w:rPr>
        <w:t>8788</w:t>
      </w:r>
    </w:p>
    <w:p w14:paraId="1ECDC311" w14:textId="77777777" w:rsidR="00EC60B5" w:rsidRDefault="00531534" w:rsidP="00EC60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</w:t>
      </w:r>
      <w:r w:rsidR="00317B0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317B01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317B01"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="00317B01" w:rsidRPr="00317B01">
        <w:rPr>
          <w:b/>
          <w:noProof/>
          <w:sz w:val="24"/>
          <w:vertAlign w:val="superscript"/>
        </w:rPr>
        <w:t>th</w:t>
      </w:r>
      <w:r w:rsidR="00317B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317B01">
        <w:rPr>
          <w:b/>
          <w:noProof/>
          <w:sz w:val="24"/>
        </w:rPr>
        <w:t xml:space="preserve"> </w:t>
      </w:r>
      <w:r w:rsidR="00EC60B5">
        <w:rPr>
          <w:b/>
          <w:noProof/>
          <w:sz w:val="24"/>
        </w:rPr>
        <w:t>2016</w:t>
      </w:r>
    </w:p>
    <w:p w14:paraId="56C12257" w14:textId="77777777" w:rsidR="00E90E49" w:rsidRPr="00CE0424" w:rsidRDefault="00E90E49" w:rsidP="00357380">
      <w:pPr>
        <w:pStyle w:val="3GPPHeader"/>
      </w:pPr>
    </w:p>
    <w:p w14:paraId="4A4F422A" w14:textId="33B06479" w:rsidR="00E90E49" w:rsidRPr="0097446D" w:rsidRDefault="00E90E49" w:rsidP="00311702">
      <w:pPr>
        <w:pStyle w:val="3GPPHeader"/>
        <w:rPr>
          <w:sz w:val="22"/>
          <w:szCs w:val="22"/>
          <w:lang w:val="en-US"/>
        </w:rPr>
      </w:pPr>
      <w:r w:rsidRPr="0097446D">
        <w:rPr>
          <w:sz w:val="22"/>
          <w:szCs w:val="22"/>
          <w:lang w:val="en-US"/>
        </w:rPr>
        <w:t>Agenda Item:</w:t>
      </w:r>
      <w:r w:rsidRPr="0097446D">
        <w:rPr>
          <w:sz w:val="22"/>
          <w:szCs w:val="22"/>
          <w:lang w:val="en-US"/>
        </w:rPr>
        <w:tab/>
      </w:r>
      <w:r w:rsidR="00695D57" w:rsidRPr="0097446D">
        <w:rPr>
          <w:sz w:val="22"/>
          <w:szCs w:val="22"/>
          <w:lang w:val="en-US"/>
        </w:rPr>
        <w:t>8.18.3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5152B71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85F40" w:rsidRPr="00685F40">
        <w:rPr>
          <w:sz w:val="22"/>
          <w:szCs w:val="22"/>
        </w:rPr>
        <w:t>Air interface delay budget recommendation</w:t>
      </w:r>
    </w:p>
    <w:p w14:paraId="7E783B9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6D1B7D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459A313F" w:rsidR="00E90E49" w:rsidRDefault="00E90E49" w:rsidP="00CE0424">
      <w:pPr>
        <w:pStyle w:val="Heading1"/>
      </w:pPr>
      <w:r w:rsidRPr="00CE0424">
        <w:t>Introduction</w:t>
      </w:r>
    </w:p>
    <w:p w14:paraId="257D0736" w14:textId="1611538B" w:rsidR="006833DA" w:rsidRDefault="006833DA" w:rsidP="006833DA">
      <w:pPr>
        <w:pStyle w:val="BodyText"/>
      </w:pPr>
      <w:r>
        <w:t xml:space="preserve">At RAN#73, a work item on Voice and Video enhancements for LTE has been approved </w:t>
      </w:r>
      <w:r>
        <w:fldChar w:fldCharType="begin"/>
      </w:r>
      <w:r>
        <w:instrText xml:space="preserve"> REF _Ref462667309 \r \h </w:instrText>
      </w:r>
      <w:r>
        <w:fldChar w:fldCharType="separate"/>
      </w:r>
      <w:r w:rsidR="00AB12AC">
        <w:t>[1]</w:t>
      </w:r>
      <w:r>
        <w:fldChar w:fldCharType="end"/>
      </w:r>
      <w:r>
        <w:t xml:space="preserve">. The objectives of this work item are to specify the following features based on the outputs of the study item report </w:t>
      </w:r>
      <w:r>
        <w:fldChar w:fldCharType="begin"/>
      </w:r>
      <w:r>
        <w:instrText xml:space="preserve"> REF _Ref462667577 \r \h </w:instrText>
      </w:r>
      <w:r>
        <w:fldChar w:fldCharType="separate"/>
      </w:r>
      <w:r w:rsidR="00AB12AC">
        <w:t>[2]</w:t>
      </w:r>
      <w:r>
        <w:fldChar w:fldCharType="end"/>
      </w:r>
      <w:r>
        <w:t>:</w:t>
      </w:r>
    </w:p>
    <w:p w14:paraId="488A7410" w14:textId="77777777" w:rsidR="006833DA" w:rsidRDefault="006833DA" w:rsidP="006833DA">
      <w:pPr>
        <w:pStyle w:val="BodyText"/>
        <w:numPr>
          <w:ilvl w:val="0"/>
          <w:numId w:val="14"/>
        </w:numPr>
        <w:textAlignment w:val="auto"/>
      </w:pPr>
      <w:r>
        <w:t>The codec mode/rate selection and adaptation solution details specification (RAN2)</w:t>
      </w:r>
    </w:p>
    <w:p w14:paraId="029374AA" w14:textId="77777777" w:rsidR="006833DA" w:rsidRDefault="006833DA" w:rsidP="006833DA">
      <w:pPr>
        <w:pStyle w:val="BodyText"/>
        <w:numPr>
          <w:ilvl w:val="0"/>
          <w:numId w:val="14"/>
        </w:numPr>
        <w:textAlignment w:val="auto"/>
      </w:pPr>
      <w:r>
        <w:t>VoLTE/ViLTE signalling optimization</w:t>
      </w:r>
    </w:p>
    <w:p w14:paraId="6DEF51FB" w14:textId="77777777" w:rsidR="006833DA" w:rsidRDefault="006833DA" w:rsidP="006833DA">
      <w:pPr>
        <w:pStyle w:val="BodyText"/>
        <w:numPr>
          <w:ilvl w:val="0"/>
          <w:numId w:val="14"/>
        </w:numPr>
        <w:textAlignment w:val="auto"/>
      </w:pPr>
      <w:r>
        <w:t>VoLTE quality/coverage enhancements</w:t>
      </w:r>
    </w:p>
    <w:p w14:paraId="1128FB2E" w14:textId="77777777" w:rsidR="006833DA" w:rsidRDefault="006833DA" w:rsidP="006833DA">
      <w:pPr>
        <w:pStyle w:val="BodyText"/>
      </w:pPr>
      <w:r>
        <w:t>With respect to the quality/coverage enhancements, one detailed objective is</w:t>
      </w:r>
    </w:p>
    <w:p w14:paraId="6C38DAF7" w14:textId="77777777" w:rsidR="006833DA" w:rsidRDefault="006833DA" w:rsidP="006833DA">
      <w:pPr>
        <w:numPr>
          <w:ilvl w:val="1"/>
          <w:numId w:val="15"/>
        </w:numPr>
        <w:overflowPunct/>
        <w:autoSpaceDE/>
        <w:adjustRightInd/>
        <w:spacing w:after="160" w:line="256" w:lineRule="auto"/>
        <w:ind w:right="1035"/>
        <w:jc w:val="left"/>
        <w:textAlignment w:val="auto"/>
      </w:pPr>
      <w:r>
        <w:t>Specify, if useful, the mechanism to enable the air interface delay budget relaxation, by e.g. the eNB awareness of available delay in air interface budget (RAN2)</w:t>
      </w:r>
    </w:p>
    <w:p w14:paraId="5DD7B1D9" w14:textId="221E2762" w:rsidR="00D3005B" w:rsidRPr="00CE0424" w:rsidRDefault="006833DA" w:rsidP="00CE0424">
      <w:pPr>
        <w:pStyle w:val="BodyText"/>
      </w:pPr>
      <w:r>
        <w:t>In this contrib</w:t>
      </w:r>
      <w:r w:rsidR="005D75AB">
        <w:t xml:space="preserve">ution we discuss the potential interaction between the UE and the eNB with respect to the air </w:t>
      </w:r>
      <w:r w:rsidR="00AB000D">
        <w:t>interface</w:t>
      </w:r>
      <w:r w:rsidR="005D75AB">
        <w:t xml:space="preserve"> delay budget</w:t>
      </w:r>
      <w:r>
        <w:t>.</w:t>
      </w:r>
    </w:p>
    <w:p w14:paraId="36CEC7B2" w14:textId="0232481E" w:rsidR="001643A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1256056D" w14:textId="472B0E52" w:rsidR="00F9032A" w:rsidRDefault="00F9032A" w:rsidP="00F9032A">
      <w:pPr>
        <w:rPr>
          <w:lang w:val="en-US"/>
        </w:rPr>
      </w:pPr>
      <w:r>
        <w:rPr>
          <w:lang w:val="en-US"/>
        </w:rPr>
        <w:t xml:space="preserve">As outlined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_Ref465671338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B12AC"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>, a VoLTE client may derive the round-trip delay of the RTP packets based on the RTCP reports. Since the contribution from the speech processing delay and the jitter buffer delay</w:t>
      </w:r>
      <w:r w:rsidR="00AB12AC">
        <w:rPr>
          <w:lang w:val="en-US"/>
        </w:rPr>
        <w:t xml:space="preserve"> </w:t>
      </w:r>
      <w:r w:rsidR="00AB12AC">
        <w:rPr>
          <w:lang w:val="en-US"/>
        </w:rPr>
        <w:fldChar w:fldCharType="begin"/>
      </w:r>
      <w:r w:rsidR="00AB12AC">
        <w:rPr>
          <w:lang w:val="en-US"/>
        </w:rPr>
        <w:instrText xml:space="preserve"> REF _Ref465976962 \r \h </w:instrText>
      </w:r>
      <w:r w:rsidR="00AB12AC">
        <w:rPr>
          <w:lang w:val="en-US"/>
        </w:rPr>
      </w:r>
      <w:r w:rsidR="00AB12AC">
        <w:rPr>
          <w:lang w:val="en-US"/>
        </w:rPr>
        <w:fldChar w:fldCharType="separate"/>
      </w:r>
      <w:r w:rsidR="00AB12AC">
        <w:rPr>
          <w:lang w:val="en-US"/>
        </w:rPr>
        <w:t>[4]</w:t>
      </w:r>
      <w:r w:rsidR="00AB12AC">
        <w:rPr>
          <w:lang w:val="en-US"/>
        </w:rPr>
        <w:fldChar w:fldCharType="end"/>
      </w:r>
      <w:r>
        <w:rPr>
          <w:lang w:val="en-US"/>
        </w:rPr>
        <w:t xml:space="preserve"> to the transmission delay is not visible at the RTP level, the RTP round-trip delay does not exactly match the mouth-to-ear delay but it will give an indication of the transmission delay as perceived by the end-user.</w:t>
      </w:r>
    </w:p>
    <w:p w14:paraId="5CEA0B45" w14:textId="4B866384" w:rsidR="00F9032A" w:rsidRPr="00FA51D7" w:rsidRDefault="00F9032A" w:rsidP="00F9032A">
      <w:pPr>
        <w:rPr>
          <w:lang w:val="en-US"/>
        </w:rPr>
      </w:pPr>
      <w:r>
        <w:rPr>
          <w:lang w:val="en-US"/>
        </w:rPr>
        <w:t>As discussed in</w:t>
      </w:r>
      <w:r w:rsidR="00AB12AC">
        <w:rPr>
          <w:lang w:val="en-US"/>
        </w:rPr>
        <w:t xml:space="preserve"> </w:t>
      </w:r>
      <w:r w:rsidR="00AB12AC">
        <w:rPr>
          <w:lang w:val="en-US"/>
        </w:rPr>
        <w:fldChar w:fldCharType="begin"/>
      </w:r>
      <w:r w:rsidR="00AB12AC">
        <w:rPr>
          <w:lang w:val="en-US"/>
        </w:rPr>
        <w:instrText xml:space="preserve"> REF _Ref465976962 \r \h </w:instrText>
      </w:r>
      <w:r w:rsidR="00AB12AC">
        <w:rPr>
          <w:lang w:val="en-US"/>
        </w:rPr>
      </w:r>
      <w:r w:rsidR="00AB12AC">
        <w:rPr>
          <w:lang w:val="en-US"/>
        </w:rPr>
        <w:fldChar w:fldCharType="separate"/>
      </w:r>
      <w:r w:rsidR="00AB12AC">
        <w:rPr>
          <w:lang w:val="en-US"/>
        </w:rPr>
        <w:t>[4]</w:t>
      </w:r>
      <w:r w:rsidR="00AB12AC">
        <w:rPr>
          <w:lang w:val="en-US"/>
        </w:rPr>
        <w:fldChar w:fldCharType="end"/>
      </w:r>
      <w:r>
        <w:rPr>
          <w:lang w:val="en-US"/>
        </w:rPr>
        <w:t xml:space="preserve">, depending on the physical location of the two parties the end-to-end delay may be in excess of the 200 ms for which the delay starts to significantly impact the quality of </w:t>
      </w:r>
      <w:r w:rsidR="00B236D9">
        <w:rPr>
          <w:lang w:val="en-US"/>
        </w:rPr>
        <w:t>experience</w:t>
      </w:r>
      <w:r>
        <w:rPr>
          <w:lang w:val="en-US"/>
        </w:rPr>
        <w:t xml:space="preserve"> </w:t>
      </w:r>
      <w:r w:rsidR="00920177">
        <w:rPr>
          <w:lang w:val="en-US"/>
        </w:rPr>
        <w:t xml:space="preserve">(QoE) </w:t>
      </w:r>
      <w:r>
        <w:rPr>
          <w:lang w:val="en-US"/>
        </w:rPr>
        <w:t xml:space="preserve">of a voice call. </w:t>
      </w:r>
      <w:r w:rsidR="00920177">
        <w:rPr>
          <w:lang w:val="en-US"/>
        </w:rPr>
        <w:t>Thus, in a situation with a long delay it may be beneficial for the QoE if the air interface</w:t>
      </w:r>
      <w:r w:rsidR="00AA7039">
        <w:rPr>
          <w:lang w:val="en-US"/>
        </w:rPr>
        <w:t xml:space="preserve"> delay,</w:t>
      </w:r>
      <w:r w:rsidR="00920177">
        <w:rPr>
          <w:lang w:val="en-US"/>
        </w:rPr>
        <w:t xml:space="preserve"> if possible</w:t>
      </w:r>
      <w:r w:rsidR="00AA7039">
        <w:rPr>
          <w:lang w:val="en-US"/>
        </w:rPr>
        <w:t>,</w:t>
      </w:r>
      <w:r w:rsidR="00920177">
        <w:rPr>
          <w:lang w:val="en-US"/>
        </w:rPr>
        <w:t xml:space="preserve"> </w:t>
      </w:r>
      <w:r w:rsidR="00AA7039">
        <w:rPr>
          <w:lang w:val="en-US"/>
        </w:rPr>
        <w:t>is</w:t>
      </w:r>
      <w:r w:rsidR="00920177">
        <w:rPr>
          <w:lang w:val="en-US"/>
        </w:rPr>
        <w:t xml:space="preserve"> reduced compared to the established QCI packet delay budget. One scenario with how air interface delay may be reduced is observed</w:t>
      </w:r>
      <w:r>
        <w:rPr>
          <w:lang w:val="en-US"/>
        </w:rPr>
        <w:t xml:space="preserve">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_Ref465671634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B12AC">
        <w:rPr>
          <w:lang w:val="en-US"/>
        </w:rPr>
        <w:t>[5]</w:t>
      </w:r>
      <w:r>
        <w:rPr>
          <w:lang w:val="en-US"/>
        </w:rPr>
        <w:fldChar w:fldCharType="end"/>
      </w:r>
      <w:r w:rsidR="00920177">
        <w:rPr>
          <w:lang w:val="en-US"/>
        </w:rPr>
        <w:t>. A</w:t>
      </w:r>
      <w:r>
        <w:rPr>
          <w:lang w:val="en-US"/>
        </w:rPr>
        <w:t xml:space="preserve"> DRX cycle setting of 40ms causes a longer air interface delay and end-to-end delay compared to a shorter </w:t>
      </w:r>
      <w:r w:rsidR="00920177">
        <w:rPr>
          <w:lang w:val="en-US"/>
        </w:rPr>
        <w:t>DRX cycle or no DRX.</w:t>
      </w:r>
    </w:p>
    <w:p w14:paraId="37EE1EB5" w14:textId="6466C5FF" w:rsidR="00DA1331" w:rsidRDefault="000F6973" w:rsidP="00DA1331">
      <w:pPr>
        <w:rPr>
          <w:rFonts w:asciiTheme="minorHAnsi" w:hAnsiTheme="minorHAnsi"/>
          <w:sz w:val="22"/>
          <w:szCs w:val="22"/>
          <w:lang w:val="en-US" w:eastAsia="en-US"/>
        </w:rPr>
      </w:pPr>
      <w:r>
        <w:rPr>
          <w:lang w:val="en-US"/>
        </w:rPr>
        <w:t>An overview of the impact of the RAN air interface delay to the conversational quality of VoLTE is presented in</w:t>
      </w:r>
      <w:r w:rsidR="00AB12AC">
        <w:rPr>
          <w:lang w:val="en-US"/>
        </w:rPr>
        <w:t xml:space="preserve"> </w:t>
      </w:r>
      <w:r w:rsidR="00AB12AC">
        <w:rPr>
          <w:lang w:val="en-US"/>
        </w:rPr>
        <w:fldChar w:fldCharType="begin"/>
      </w:r>
      <w:r w:rsidR="00AB12AC">
        <w:rPr>
          <w:lang w:val="en-US"/>
        </w:rPr>
        <w:instrText xml:space="preserve"> REF _Ref465976962 \r \h </w:instrText>
      </w:r>
      <w:r w:rsidR="00AB12AC">
        <w:rPr>
          <w:lang w:val="en-US"/>
        </w:rPr>
      </w:r>
      <w:r w:rsidR="00AB12AC">
        <w:rPr>
          <w:lang w:val="en-US"/>
        </w:rPr>
        <w:fldChar w:fldCharType="separate"/>
      </w:r>
      <w:r w:rsidR="00AB12AC">
        <w:rPr>
          <w:lang w:val="en-US"/>
        </w:rPr>
        <w:t>[4]</w:t>
      </w:r>
      <w:r w:rsidR="00AB12AC">
        <w:rPr>
          <w:lang w:val="en-US"/>
        </w:rPr>
        <w:fldChar w:fldCharType="end"/>
      </w:r>
      <w:r w:rsidR="00CE1CC5">
        <w:rPr>
          <w:lang w:val="en-US"/>
        </w:rPr>
        <w:t>.</w:t>
      </w:r>
      <w:r w:rsidR="00DA1331">
        <w:rPr>
          <w:lang w:val="en-US"/>
        </w:rPr>
        <w:t xml:space="preserve"> A conclusion from </w:t>
      </w:r>
      <w:r w:rsidR="00AB12AC">
        <w:rPr>
          <w:lang w:val="en-US"/>
        </w:rPr>
        <w:fldChar w:fldCharType="begin"/>
      </w:r>
      <w:r w:rsidR="00AB12AC">
        <w:rPr>
          <w:lang w:val="en-US"/>
        </w:rPr>
        <w:instrText xml:space="preserve"> REF _Ref465976962 \r \h </w:instrText>
      </w:r>
      <w:r w:rsidR="00AB12AC">
        <w:rPr>
          <w:lang w:val="en-US"/>
        </w:rPr>
      </w:r>
      <w:r w:rsidR="00AB12AC">
        <w:rPr>
          <w:lang w:val="en-US"/>
        </w:rPr>
        <w:fldChar w:fldCharType="separate"/>
      </w:r>
      <w:r w:rsidR="00AB12AC">
        <w:rPr>
          <w:lang w:val="en-US"/>
        </w:rPr>
        <w:t>[4]</w:t>
      </w:r>
      <w:r w:rsidR="00AB12AC">
        <w:rPr>
          <w:lang w:val="en-US"/>
        </w:rPr>
        <w:fldChar w:fldCharType="end"/>
      </w:r>
      <w:r w:rsidR="00DA1331">
        <w:rPr>
          <w:lang w:val="en-US"/>
        </w:rPr>
        <w:t xml:space="preserve"> </w:t>
      </w:r>
      <w:r w:rsidR="00DA1331">
        <w:rPr>
          <w:rFonts w:asciiTheme="minorHAnsi" w:hAnsiTheme="minorHAnsi"/>
          <w:sz w:val="22"/>
          <w:szCs w:val="22"/>
          <w:lang w:val="en-US" w:eastAsia="en-US"/>
        </w:rPr>
        <w:t xml:space="preserve">is </w:t>
      </w:r>
      <w:r w:rsidR="00DA1331" w:rsidRPr="00DA1331">
        <w:rPr>
          <w:rFonts w:asciiTheme="minorHAnsi" w:hAnsiTheme="minorHAnsi"/>
          <w:sz w:val="22"/>
          <w:szCs w:val="22"/>
          <w:lang w:val="en-US" w:eastAsia="en-US"/>
        </w:rPr>
        <w:t>that in a situation where RAN ha</w:t>
      </w:r>
      <w:r w:rsidR="00DA1331">
        <w:rPr>
          <w:rFonts w:asciiTheme="minorHAnsi" w:hAnsiTheme="minorHAnsi"/>
          <w:sz w:val="22"/>
          <w:szCs w:val="22"/>
          <w:lang w:val="en-US" w:eastAsia="en-US"/>
        </w:rPr>
        <w:t xml:space="preserve">s either of the two options (A) </w:t>
      </w:r>
      <w:r w:rsidR="00DA1331" w:rsidRPr="00DA1331">
        <w:rPr>
          <w:rFonts w:asciiTheme="minorHAnsi" w:hAnsiTheme="minorHAnsi"/>
          <w:sz w:val="22"/>
          <w:szCs w:val="22"/>
          <w:lang w:val="en-US" w:eastAsia="en-US"/>
        </w:rPr>
        <w:t>of extending the packet delay and keeping the pa</w:t>
      </w:r>
      <w:r w:rsidR="00DA1331">
        <w:rPr>
          <w:rFonts w:asciiTheme="minorHAnsi" w:hAnsiTheme="minorHAnsi"/>
          <w:sz w:val="22"/>
          <w:szCs w:val="22"/>
          <w:lang w:val="en-US" w:eastAsia="en-US"/>
        </w:rPr>
        <w:t xml:space="preserve">cket loss at a low level or (B) </w:t>
      </w:r>
      <w:r w:rsidR="00DA1331" w:rsidRPr="00DA1331">
        <w:rPr>
          <w:rFonts w:asciiTheme="minorHAnsi" w:hAnsiTheme="minorHAnsi"/>
          <w:sz w:val="22"/>
          <w:szCs w:val="22"/>
          <w:lang w:val="en-US" w:eastAsia="en-US"/>
        </w:rPr>
        <w:t xml:space="preserve">of keeping the delay and delay variations within </w:t>
      </w:r>
      <w:r w:rsidR="00DA1331">
        <w:rPr>
          <w:rFonts w:asciiTheme="minorHAnsi" w:hAnsiTheme="minorHAnsi"/>
          <w:sz w:val="22"/>
          <w:szCs w:val="22"/>
          <w:lang w:val="en-US" w:eastAsia="en-US"/>
        </w:rPr>
        <w:t xml:space="preserve">a </w:t>
      </w:r>
      <w:r w:rsidR="00DA1331" w:rsidRPr="00DA1331">
        <w:rPr>
          <w:rFonts w:asciiTheme="minorHAnsi" w:hAnsiTheme="minorHAnsi"/>
          <w:sz w:val="22"/>
          <w:szCs w:val="22"/>
          <w:lang w:val="en-US" w:eastAsia="en-US"/>
        </w:rPr>
        <w:t>pre-defined level and introducing extra packet loss, it is always preferred to allow for an increased delay and keeping the loss rate low.</w:t>
      </w:r>
    </w:p>
    <w:p w14:paraId="01DAE439" w14:textId="77777777" w:rsidR="00DA1331" w:rsidRDefault="00DA1331" w:rsidP="00DA1331">
      <w:pPr>
        <w:keepNext/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5A7F2F3F" wp14:editId="5C446BE3">
            <wp:extent cx="6092190" cy="235077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190" cy="2350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CFA2A1" w14:textId="7F97090C" w:rsidR="00DA1331" w:rsidRPr="00DA1331" w:rsidRDefault="00DA1331" w:rsidP="00DA1331">
      <w:pPr>
        <w:pStyle w:val="Caption"/>
        <w:rPr>
          <w:rFonts w:asciiTheme="minorHAnsi" w:hAnsiTheme="minorHAnsi"/>
          <w:sz w:val="22"/>
          <w:szCs w:val="22"/>
          <w:lang w:val="en-US" w:eastAsia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B12AC">
        <w:rPr>
          <w:noProof/>
        </w:rPr>
        <w:t>1</w:t>
      </w:r>
      <w:r>
        <w:fldChar w:fldCharType="end"/>
      </w:r>
      <w:r>
        <w:t>: One-way transmission delay vs packet loss for different RAN operation.</w:t>
      </w:r>
    </w:p>
    <w:p w14:paraId="19980E46" w14:textId="6C339271" w:rsidR="00920177" w:rsidRPr="00E25877" w:rsidRDefault="00920177" w:rsidP="006D7CDA">
      <w:pPr>
        <w:rPr>
          <w:lang w:val="en-US"/>
        </w:rPr>
      </w:pPr>
      <w:r w:rsidRPr="00E25877">
        <w:rPr>
          <w:lang w:val="en-US"/>
        </w:rPr>
        <w:t>There may however</w:t>
      </w:r>
      <w:r>
        <w:rPr>
          <w:lang w:val="en-US"/>
        </w:rPr>
        <w:t xml:space="preserve"> be situations where the end-to-end delay is below the service requirements and in such a situation it may be beneficial for the overall system </w:t>
      </w:r>
      <w:r w:rsidR="00B236D9">
        <w:rPr>
          <w:lang w:val="en-US"/>
        </w:rPr>
        <w:t>performance</w:t>
      </w:r>
      <w:r>
        <w:rPr>
          <w:lang w:val="en-US"/>
        </w:rPr>
        <w:t xml:space="preserve"> if the packet delay budget </w:t>
      </w:r>
      <w:r w:rsidR="00B4601A">
        <w:rPr>
          <w:lang w:val="en-US"/>
        </w:rPr>
        <w:t>is</w:t>
      </w:r>
      <w:r>
        <w:rPr>
          <w:lang w:val="en-US"/>
        </w:rPr>
        <w:t xml:space="preserve"> relaxed. </w:t>
      </w:r>
    </w:p>
    <w:p w14:paraId="1C662C5A" w14:textId="056D90DD" w:rsidR="00DA1331" w:rsidRDefault="00920177" w:rsidP="006D7CDA">
      <w:pPr>
        <w:rPr>
          <w:lang w:val="en-US"/>
        </w:rPr>
      </w:pPr>
      <w:r>
        <w:rPr>
          <w:lang w:val="en-US"/>
        </w:rPr>
        <w:t>I</w:t>
      </w:r>
      <w:r w:rsidR="00B80024">
        <w:rPr>
          <w:lang w:val="en-US"/>
        </w:rPr>
        <w:t xml:space="preserve">t is proposed in </w:t>
      </w:r>
      <w:r w:rsidR="00B80024">
        <w:rPr>
          <w:lang w:val="en-US"/>
        </w:rPr>
        <w:fldChar w:fldCharType="begin"/>
      </w:r>
      <w:r w:rsidR="00B80024">
        <w:rPr>
          <w:lang w:val="en-US"/>
        </w:rPr>
        <w:instrText xml:space="preserve"> REF _Ref465671634 \r \h </w:instrText>
      </w:r>
      <w:r w:rsidR="00FE2BDF">
        <w:rPr>
          <w:lang w:val="en-US"/>
        </w:rPr>
        <w:instrText xml:space="preserve"> \* MERGEFORMAT </w:instrText>
      </w:r>
      <w:r w:rsidR="00B80024">
        <w:rPr>
          <w:lang w:val="en-US"/>
        </w:rPr>
      </w:r>
      <w:r w:rsidR="00B80024">
        <w:rPr>
          <w:lang w:val="en-US"/>
        </w:rPr>
        <w:fldChar w:fldCharType="separate"/>
      </w:r>
      <w:r w:rsidR="00AB12AC">
        <w:rPr>
          <w:lang w:val="en-US"/>
        </w:rPr>
        <w:t>[5]</w:t>
      </w:r>
      <w:r w:rsidR="00B80024">
        <w:rPr>
          <w:lang w:val="en-US"/>
        </w:rPr>
        <w:fldChar w:fldCharType="end"/>
      </w:r>
      <w:r w:rsidR="00B80024">
        <w:rPr>
          <w:lang w:val="en-US"/>
        </w:rPr>
        <w:t xml:space="preserve"> to allow for a possibly reduced end-to-end delay by i</w:t>
      </w:r>
      <w:r w:rsidR="00FE2BDF">
        <w:rPr>
          <w:lang w:val="en-US"/>
        </w:rPr>
        <w:t xml:space="preserve">ntroducing a mechanism for the eNB to be made aware that the </w:t>
      </w:r>
      <w:r w:rsidR="00AE424F">
        <w:rPr>
          <w:lang w:val="en-US"/>
        </w:rPr>
        <w:t xml:space="preserve">QoE </w:t>
      </w:r>
      <w:r w:rsidR="00FE2BDF">
        <w:rPr>
          <w:lang w:val="en-US"/>
        </w:rPr>
        <w:t>may benefit from a delay in the air interface that is below the current QCI setting.</w:t>
      </w:r>
      <w:r>
        <w:rPr>
          <w:lang w:val="en-US"/>
        </w:rPr>
        <w:t xml:space="preserve"> Based on the discussion above, it is considered that </w:t>
      </w:r>
      <w:r w:rsidR="00B4601A">
        <w:rPr>
          <w:lang w:val="en-US"/>
        </w:rPr>
        <w:t xml:space="preserve">with </w:t>
      </w:r>
      <w:r>
        <w:rPr>
          <w:lang w:val="en-US"/>
        </w:rPr>
        <w:t xml:space="preserve">such a mechanism </w:t>
      </w:r>
      <w:r w:rsidR="00B4601A">
        <w:rPr>
          <w:lang w:val="en-US"/>
        </w:rPr>
        <w:t xml:space="preserve">it </w:t>
      </w:r>
      <w:r>
        <w:rPr>
          <w:lang w:val="en-US"/>
        </w:rPr>
        <w:t xml:space="preserve">should </w:t>
      </w:r>
      <w:r w:rsidR="00B4601A">
        <w:rPr>
          <w:lang w:val="en-US"/>
        </w:rPr>
        <w:t xml:space="preserve">also </w:t>
      </w:r>
      <w:r>
        <w:rPr>
          <w:lang w:val="en-US"/>
        </w:rPr>
        <w:t>be possible to relax the delay budget requirement.</w:t>
      </w:r>
    </w:p>
    <w:p w14:paraId="7F4C5BBB" w14:textId="1E297C57" w:rsidR="00167BCD" w:rsidRDefault="00167BCD" w:rsidP="006D7CDA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_Ref465674205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B12AC">
        <w:t xml:space="preserve">Figure </w:t>
      </w:r>
      <w:r w:rsidR="00AB12AC">
        <w:rPr>
          <w:noProof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 w:rsidR="00AB000D">
        <w:rPr>
          <w:lang w:val="en-US"/>
        </w:rPr>
        <w:t>describes</w:t>
      </w:r>
      <w:r>
        <w:rPr>
          <w:lang w:val="en-US"/>
        </w:rPr>
        <w:t xml:space="preserve"> </w:t>
      </w:r>
      <w:r w:rsidR="001B3761">
        <w:rPr>
          <w:lang w:val="en-US"/>
        </w:rPr>
        <w:t xml:space="preserve">a use case </w:t>
      </w:r>
      <w:r>
        <w:rPr>
          <w:lang w:val="en-US"/>
        </w:rPr>
        <w:t xml:space="preserve">how the UE and eNB may interact </w:t>
      </w:r>
      <w:r w:rsidR="00C253E5">
        <w:rPr>
          <w:lang w:val="en-US"/>
        </w:rPr>
        <w:t xml:space="preserve">to </w:t>
      </w:r>
      <w:r w:rsidR="0097446D">
        <w:rPr>
          <w:lang w:val="en-US"/>
        </w:rPr>
        <w:t xml:space="preserve">adjust </w:t>
      </w:r>
      <w:r w:rsidR="00C253E5">
        <w:rPr>
          <w:lang w:val="en-US"/>
        </w:rPr>
        <w:t>the RAN delay based on call specific RTP packet round-trip delay and conditions at the local air interface.</w:t>
      </w:r>
    </w:p>
    <w:p w14:paraId="710A0903" w14:textId="77777777" w:rsidR="002E78F2" w:rsidRDefault="002E78F2" w:rsidP="002E78F2">
      <w:pPr>
        <w:keepNext/>
        <w:jc w:val="center"/>
      </w:pPr>
      <w:r>
        <w:rPr>
          <w:noProof/>
          <w:lang w:val="en-US" w:eastAsia="en-US"/>
        </w:rPr>
        <w:drawing>
          <wp:inline distT="0" distB="0" distL="0" distR="0" wp14:anchorId="5ACE52E4" wp14:editId="6D6ECBC3">
            <wp:extent cx="6115050" cy="2676525"/>
            <wp:effectExtent l="0" t="0" r="0" b="9525"/>
            <wp:docPr id="2" name="Picture 2" descr="C:\Users\erauae\Desktop\Studies\Media rate adaptation\UseCaseDela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auae\Desktop\Studies\Media rate adaptation\UseCaseDelay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183BAA" w14:textId="67F297ED" w:rsidR="00DA1331" w:rsidRDefault="002E78F2" w:rsidP="002E78F2">
      <w:pPr>
        <w:pStyle w:val="Caption"/>
      </w:pPr>
      <w:bookmarkStart w:id="1" w:name="_Ref46567420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B12AC">
        <w:rPr>
          <w:noProof/>
        </w:rPr>
        <w:t>2</w:t>
      </w:r>
      <w:r>
        <w:fldChar w:fldCharType="end"/>
      </w:r>
      <w:bookmarkEnd w:id="1"/>
      <w:r>
        <w:t>: Use case for call specific RAN delay.</w:t>
      </w:r>
    </w:p>
    <w:p w14:paraId="71B3D4D8" w14:textId="5F444132" w:rsidR="00167BCD" w:rsidRPr="009F55E2" w:rsidRDefault="00C253E5" w:rsidP="00167BCD">
      <w:r>
        <w:t>Step 0: On-going call with RTP media flow including RTCP</w:t>
      </w:r>
      <w:r w:rsidR="00167BCD" w:rsidRPr="009F55E2">
        <w:t>.</w:t>
      </w:r>
    </w:p>
    <w:p w14:paraId="1AF961D9" w14:textId="1F665C2D" w:rsidR="00167BCD" w:rsidRPr="009F55E2" w:rsidRDefault="00C253E5" w:rsidP="00167BCD">
      <w:r>
        <w:t>Step 1 A/B</w:t>
      </w:r>
      <w:r w:rsidR="00167BCD" w:rsidRPr="009F55E2">
        <w:t xml:space="preserve">: </w:t>
      </w:r>
      <w:r>
        <w:t>The UE-1 and UE-2 measures RTP packet round-trip delay</w:t>
      </w:r>
      <w:r w:rsidR="00167BCD" w:rsidRPr="009F55E2">
        <w:t>.</w:t>
      </w:r>
    </w:p>
    <w:p w14:paraId="6C2B9394" w14:textId="7F54AF5A" w:rsidR="00167BCD" w:rsidRPr="009F55E2" w:rsidRDefault="00167BCD" w:rsidP="00167BCD">
      <w:r w:rsidRPr="009F55E2">
        <w:t>Step</w:t>
      </w:r>
      <w:r w:rsidR="00C253E5">
        <w:t xml:space="preserve"> 2 A/B: If RTP </w:t>
      </w:r>
      <w:r w:rsidR="00AB000D">
        <w:t>packet</w:t>
      </w:r>
      <w:r w:rsidR="00C253E5">
        <w:t xml:space="preserve"> round-trip delay is above threshold either or both of UE-1 and UE-2 may send an air interface delay message to their respective eNB to convey information that the currently established packet delay budget </w:t>
      </w:r>
      <w:r w:rsidR="001B3761">
        <w:t xml:space="preserve">for the local RAN </w:t>
      </w:r>
      <w:r w:rsidR="00C253E5">
        <w:t>if possibly should be modified</w:t>
      </w:r>
    </w:p>
    <w:p w14:paraId="5EC9751F" w14:textId="41B969D1" w:rsidR="00167BCD" w:rsidRPr="009F55E2" w:rsidRDefault="00C253E5" w:rsidP="00167BCD">
      <w:pPr>
        <w:rPr>
          <w:lang w:val="en-US"/>
        </w:rPr>
      </w:pPr>
      <w:r>
        <w:t>Step 3 A/B</w:t>
      </w:r>
      <w:r w:rsidR="00167BCD" w:rsidRPr="009F55E2">
        <w:t>:</w:t>
      </w:r>
      <w:r>
        <w:t xml:space="preserve"> The</w:t>
      </w:r>
      <w:r>
        <w:rPr>
          <w:lang w:val="en-US"/>
        </w:rPr>
        <w:t xml:space="preserve"> eNB-1 and eNB-2 evaluates the local link conditions and user policies to decide if the pa</w:t>
      </w:r>
      <w:r w:rsidR="001B3761">
        <w:rPr>
          <w:lang w:val="en-US"/>
        </w:rPr>
        <w:t>cket treatment on the local RAN</w:t>
      </w:r>
      <w:r>
        <w:rPr>
          <w:lang w:val="en-US"/>
        </w:rPr>
        <w:t xml:space="preserve"> may be modified </w:t>
      </w:r>
      <w:r w:rsidR="00AB000D">
        <w:rPr>
          <w:lang w:val="en-US"/>
        </w:rPr>
        <w:t>according</w:t>
      </w:r>
      <w:r>
        <w:rPr>
          <w:lang w:val="en-US"/>
        </w:rPr>
        <w:t xml:space="preserve"> to the </w:t>
      </w:r>
      <w:r w:rsidR="00AB12AC">
        <w:rPr>
          <w:lang w:val="en-US"/>
        </w:rPr>
        <w:t xml:space="preserve">respective </w:t>
      </w:r>
      <w:r>
        <w:rPr>
          <w:lang w:val="en-US"/>
        </w:rPr>
        <w:t>message from UE-1 and UE-2</w:t>
      </w:r>
      <w:r w:rsidR="00AB12AC">
        <w:rPr>
          <w:lang w:val="en-US"/>
        </w:rPr>
        <w:t>.</w:t>
      </w:r>
      <w:r>
        <w:rPr>
          <w:lang w:val="en-US"/>
        </w:rPr>
        <w:t xml:space="preserve"> </w:t>
      </w:r>
    </w:p>
    <w:p w14:paraId="49055EBB" w14:textId="77777777" w:rsidR="00E25877" w:rsidRDefault="00167BCD" w:rsidP="00B20FF7">
      <w:r w:rsidRPr="009F55E2">
        <w:rPr>
          <w:lang w:val="en-US"/>
        </w:rPr>
        <w:t xml:space="preserve">Step </w:t>
      </w:r>
      <w:r w:rsidR="00C253E5">
        <w:rPr>
          <w:lang w:val="en-US"/>
        </w:rPr>
        <w:t>4</w:t>
      </w:r>
      <w:r w:rsidRPr="009F55E2">
        <w:rPr>
          <w:lang w:val="en-US"/>
        </w:rPr>
        <w:t xml:space="preserve">: </w:t>
      </w:r>
      <w:r w:rsidR="00C253E5">
        <w:rPr>
          <w:lang w:val="en-US"/>
        </w:rPr>
        <w:t xml:space="preserve">Depending on the action from the respective eNB, </w:t>
      </w:r>
      <w:r w:rsidR="00C253E5">
        <w:t>the round trip delay of the RTP media flow may be adjusted based on the information provided by the UEs</w:t>
      </w:r>
      <w:r w:rsidR="00E25877">
        <w:t>.</w:t>
      </w:r>
      <w:r w:rsidR="00C253E5">
        <w:t xml:space="preserve"> </w:t>
      </w:r>
    </w:p>
    <w:p w14:paraId="5DCC0EF7" w14:textId="4DCE7944" w:rsidR="00B20FF7" w:rsidRPr="00E25877" w:rsidRDefault="00B20FF7" w:rsidP="00167BCD">
      <w:pPr>
        <w:rPr>
          <w:lang w:val="en-US"/>
        </w:rPr>
      </w:pPr>
      <w:r>
        <w:rPr>
          <w:lang w:val="en-US"/>
        </w:rPr>
        <w:lastRenderedPageBreak/>
        <w:t xml:space="preserve">The scheme above does not require that the UE is aware of the channel conditions </w:t>
      </w:r>
      <w:r w:rsidR="00B4601A">
        <w:rPr>
          <w:lang w:val="en-US"/>
        </w:rPr>
        <w:t xml:space="preserve">for the remote UE, </w:t>
      </w:r>
      <w:r>
        <w:rPr>
          <w:lang w:val="en-US"/>
        </w:rPr>
        <w:t xml:space="preserve">but the information exchange from the </w:t>
      </w:r>
      <w:r w:rsidR="00B236D9">
        <w:rPr>
          <w:lang w:val="en-US"/>
        </w:rPr>
        <w:t>respective</w:t>
      </w:r>
      <w:r>
        <w:rPr>
          <w:lang w:val="en-US"/>
        </w:rPr>
        <w:t xml:space="preserve"> UE to the eNB is triggered based on the measured RTP round-trip delay.</w:t>
      </w:r>
    </w:p>
    <w:p w14:paraId="18B57B9E" w14:textId="5E177074" w:rsidR="0047074E" w:rsidRDefault="0047074E" w:rsidP="00E25877">
      <w:pPr>
        <w:pStyle w:val="Heading2"/>
        <w:rPr>
          <w:lang w:val="en-US"/>
        </w:rPr>
      </w:pPr>
      <w:r>
        <w:rPr>
          <w:lang w:val="en-US"/>
        </w:rPr>
        <w:t>Protocol used for UE to eNB information exchange on packet delay budget recommendation</w:t>
      </w:r>
    </w:p>
    <w:p w14:paraId="252055B5" w14:textId="483CC355" w:rsidR="0047074E" w:rsidRDefault="00C73F93" w:rsidP="002E78F2">
      <w:pPr>
        <w:rPr>
          <w:lang w:val="en-US"/>
        </w:rPr>
      </w:pPr>
      <w:r>
        <w:rPr>
          <w:lang w:val="en-US"/>
        </w:rPr>
        <w:t>The information provided from the U</w:t>
      </w:r>
      <w:r w:rsidR="003B1450">
        <w:rPr>
          <w:lang w:val="en-US"/>
        </w:rPr>
        <w:t>E to the eNB in S</w:t>
      </w:r>
      <w:r>
        <w:rPr>
          <w:lang w:val="en-US"/>
        </w:rPr>
        <w:t xml:space="preserve">tep 2 above is proposed to </w:t>
      </w:r>
      <w:r w:rsidR="000024CF">
        <w:rPr>
          <w:lang w:val="en-US"/>
        </w:rPr>
        <w:t xml:space="preserve">be provided </w:t>
      </w:r>
      <w:r w:rsidR="0047074E">
        <w:rPr>
          <w:lang w:val="en-US"/>
        </w:rPr>
        <w:t>via a MAC CE</w:t>
      </w:r>
      <w:r w:rsidR="007605C8">
        <w:rPr>
          <w:lang w:val="en-US"/>
        </w:rPr>
        <w:t xml:space="preserve"> with information as described in </w:t>
      </w:r>
      <w:r w:rsidR="007605C8">
        <w:rPr>
          <w:lang w:val="en-US"/>
        </w:rPr>
        <w:fldChar w:fldCharType="begin"/>
      </w:r>
      <w:r w:rsidR="007605C8">
        <w:rPr>
          <w:lang w:val="en-US"/>
        </w:rPr>
        <w:instrText xml:space="preserve"> REF _Ref465867285 \h </w:instrText>
      </w:r>
      <w:r w:rsidR="007605C8">
        <w:rPr>
          <w:lang w:val="en-US"/>
        </w:rPr>
      </w:r>
      <w:r w:rsidR="007605C8">
        <w:rPr>
          <w:lang w:val="en-US"/>
        </w:rPr>
        <w:fldChar w:fldCharType="separate"/>
      </w:r>
      <w:r w:rsidR="00AB12AC">
        <w:t xml:space="preserve">Figure </w:t>
      </w:r>
      <w:r w:rsidR="00AB12AC">
        <w:rPr>
          <w:noProof/>
        </w:rPr>
        <w:t>3</w:t>
      </w:r>
      <w:r w:rsidR="007605C8">
        <w:rPr>
          <w:lang w:val="en-US"/>
        </w:rPr>
        <w:fldChar w:fldCharType="end"/>
      </w:r>
      <w:r w:rsidR="007605C8">
        <w:rPr>
          <w:lang w:val="en-US"/>
        </w:rPr>
        <w:t>.</w:t>
      </w:r>
    </w:p>
    <w:p w14:paraId="5E1E6D44" w14:textId="77777777" w:rsidR="00695D57" w:rsidRDefault="00695D57" w:rsidP="002E78F2">
      <w:pPr>
        <w:rPr>
          <w:lang w:val="en-US"/>
        </w:rPr>
      </w:pPr>
    </w:p>
    <w:p w14:paraId="29E2F773" w14:textId="3504EB5B" w:rsidR="007605C8" w:rsidRDefault="002D32EA" w:rsidP="00E25877">
      <w:pPr>
        <w:keepNext/>
        <w:jc w:val="center"/>
      </w:pPr>
      <w:r>
        <w:object w:dxaOrig="3315" w:dyaOrig="675" w14:anchorId="3D5186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5.75pt;height:33.75pt" o:ole="">
            <v:imagedata r:id="rId10" o:title=""/>
          </v:shape>
          <o:OLEObject Type="Embed" ProgID="Visio.Drawing.15" ShapeID="_x0000_i1025" DrawAspect="Content" ObjectID="_1539826608" r:id="rId11"/>
        </w:object>
      </w:r>
    </w:p>
    <w:p w14:paraId="18C5C353" w14:textId="77777777" w:rsidR="00695D57" w:rsidRDefault="00695D57" w:rsidP="00E25877">
      <w:pPr>
        <w:keepNext/>
        <w:jc w:val="center"/>
      </w:pPr>
    </w:p>
    <w:p w14:paraId="1FE1DFCA" w14:textId="70FF5800" w:rsidR="0047074E" w:rsidRDefault="007605C8" w:rsidP="00E25877">
      <w:pPr>
        <w:pStyle w:val="Caption"/>
        <w:rPr>
          <w:lang w:val="en-US"/>
        </w:rPr>
      </w:pPr>
      <w:bookmarkStart w:id="2" w:name="_Ref46586728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B12AC">
        <w:rPr>
          <w:noProof/>
        </w:rPr>
        <w:t>3</w:t>
      </w:r>
      <w:r>
        <w:fldChar w:fldCharType="end"/>
      </w:r>
      <w:bookmarkEnd w:id="2"/>
      <w:r>
        <w:t>: Example of MAC CE for UE to eNB packet delay budget information message.</w:t>
      </w:r>
    </w:p>
    <w:p w14:paraId="447CF753" w14:textId="77777777" w:rsidR="00695D57" w:rsidRDefault="00695D57" w:rsidP="002E78F2">
      <w:pPr>
        <w:rPr>
          <w:lang w:val="en-US"/>
        </w:rPr>
      </w:pPr>
    </w:p>
    <w:p w14:paraId="7D8DF48E" w14:textId="63705867" w:rsidR="002E78F2" w:rsidRDefault="007605C8" w:rsidP="002E78F2">
      <w:pPr>
        <w:rPr>
          <w:lang w:val="en-US"/>
        </w:rPr>
      </w:pPr>
      <w:r>
        <w:rPr>
          <w:lang w:val="en-US"/>
        </w:rPr>
        <w:t xml:space="preserve">The table index is proposed as </w:t>
      </w:r>
      <w:r w:rsidR="000024CF">
        <w:rPr>
          <w:lang w:val="en-US"/>
        </w:rPr>
        <w:t xml:space="preserve">a </w:t>
      </w:r>
      <w:r>
        <w:rPr>
          <w:lang w:val="en-US"/>
        </w:rPr>
        <w:t xml:space="preserve">scaling </w:t>
      </w:r>
      <w:r w:rsidR="000024CF">
        <w:rPr>
          <w:lang w:val="en-US"/>
        </w:rPr>
        <w:t>factor</w:t>
      </w:r>
      <w:r w:rsidR="00C73F93">
        <w:rPr>
          <w:lang w:val="en-US"/>
        </w:rPr>
        <w:t xml:space="preserve"> to</w:t>
      </w:r>
      <w:r w:rsidR="000024CF">
        <w:rPr>
          <w:lang w:val="en-US"/>
        </w:rPr>
        <w:t xml:space="preserve"> be applied to</w:t>
      </w:r>
      <w:r w:rsidR="00C73F93">
        <w:rPr>
          <w:lang w:val="en-US"/>
        </w:rPr>
        <w:t xml:space="preserve"> the packet delay bu</w:t>
      </w:r>
      <w:r w:rsidR="001B3761">
        <w:rPr>
          <w:lang w:val="en-US"/>
        </w:rPr>
        <w:t xml:space="preserve">dget of </w:t>
      </w:r>
      <w:r>
        <w:rPr>
          <w:lang w:val="en-US"/>
        </w:rPr>
        <w:t xml:space="preserve">the </w:t>
      </w:r>
      <w:r w:rsidR="001B3761">
        <w:rPr>
          <w:lang w:val="en-US"/>
        </w:rPr>
        <w:t>established QCI</w:t>
      </w:r>
      <w:r>
        <w:rPr>
          <w:lang w:val="en-US"/>
        </w:rPr>
        <w:t xml:space="preserve">, as outlined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_Ref465867384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B12AC">
        <w:t xml:space="preserve">Table </w:t>
      </w:r>
      <w:r w:rsidR="00AB12AC"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>.</w:t>
      </w:r>
      <w:r w:rsidR="00A619B2">
        <w:rPr>
          <w:lang w:val="en-US"/>
        </w:rPr>
        <w:t xml:space="preserve"> The reference for the scaling factor may be known to UE from the s</w:t>
      </w:r>
      <w:r w:rsidR="00A619B2" w:rsidRPr="007B5EC5">
        <w:rPr>
          <w:lang w:val="en-US"/>
        </w:rPr>
        <w:t xml:space="preserve">tandardized QCI </w:t>
      </w:r>
      <w:r w:rsidR="00A619B2">
        <w:rPr>
          <w:lang w:val="en-US"/>
        </w:rPr>
        <w:t xml:space="preserve">1 </w:t>
      </w:r>
      <w:r w:rsidR="00A619B2" w:rsidRPr="007B5EC5">
        <w:rPr>
          <w:lang w:val="en-US"/>
        </w:rPr>
        <w:t>characteristics</w:t>
      </w:r>
      <w:r w:rsidR="00A619B2">
        <w:rPr>
          <w:lang w:val="en-US"/>
        </w:rPr>
        <w:t xml:space="preserve"> in </w:t>
      </w:r>
      <w:r w:rsidR="00A619B2">
        <w:rPr>
          <w:lang w:val="en-US"/>
        </w:rPr>
        <w:fldChar w:fldCharType="begin"/>
      </w:r>
      <w:r w:rsidR="00A619B2">
        <w:rPr>
          <w:lang w:val="en-US"/>
        </w:rPr>
        <w:instrText xml:space="preserve"> REF _Ref466037766 \r \h </w:instrText>
      </w:r>
      <w:r w:rsidR="00A619B2">
        <w:rPr>
          <w:lang w:val="en-US"/>
        </w:rPr>
      </w:r>
      <w:r w:rsidR="00A619B2">
        <w:rPr>
          <w:lang w:val="en-US"/>
        </w:rPr>
        <w:fldChar w:fldCharType="separate"/>
      </w:r>
      <w:r w:rsidR="00A619B2">
        <w:rPr>
          <w:lang w:val="en-US"/>
        </w:rPr>
        <w:t>[6]</w:t>
      </w:r>
      <w:r w:rsidR="00A619B2">
        <w:rPr>
          <w:lang w:val="en-US"/>
        </w:rPr>
        <w:fldChar w:fldCharType="end"/>
      </w:r>
      <w:r w:rsidR="00A619B2">
        <w:rPr>
          <w:lang w:val="en-US"/>
        </w:rPr>
        <w:t xml:space="preserve"> or explicitly configured by the application layer.</w:t>
      </w:r>
    </w:p>
    <w:p w14:paraId="67FC4873" w14:textId="77777777" w:rsidR="00695D57" w:rsidRDefault="00695D57" w:rsidP="002E78F2">
      <w:pPr>
        <w:rPr>
          <w:lang w:val="en-US"/>
        </w:rPr>
      </w:pPr>
    </w:p>
    <w:p w14:paraId="37AF6CD7" w14:textId="774B3612" w:rsidR="007605C8" w:rsidRDefault="007605C8" w:rsidP="00E25877">
      <w:pPr>
        <w:pStyle w:val="Caption"/>
        <w:keepNext/>
      </w:pPr>
      <w:bookmarkStart w:id="3" w:name="_Ref46586738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B12AC">
        <w:rPr>
          <w:noProof/>
        </w:rPr>
        <w:t>1</w:t>
      </w:r>
      <w:r>
        <w:fldChar w:fldCharType="end"/>
      </w:r>
      <w:bookmarkEnd w:id="3"/>
      <w:r>
        <w:t>: Example of tabulated QCI packet delay budget scaling factor</w:t>
      </w:r>
    </w:p>
    <w:tbl>
      <w:tblPr>
        <w:tblStyle w:val="TableGrid"/>
        <w:tblW w:w="0" w:type="auto"/>
        <w:tblInd w:w="3085" w:type="dxa"/>
        <w:tblLook w:val="04A0" w:firstRow="1" w:lastRow="0" w:firstColumn="1" w:lastColumn="0" w:noHBand="0" w:noVBand="1"/>
      </w:tblPr>
      <w:tblGrid>
        <w:gridCol w:w="1362"/>
        <w:gridCol w:w="3883"/>
      </w:tblGrid>
      <w:tr w:rsidR="007605C8" w14:paraId="57980FD7" w14:textId="77777777" w:rsidTr="00E25877">
        <w:tc>
          <w:tcPr>
            <w:tcW w:w="1362" w:type="dxa"/>
          </w:tcPr>
          <w:p w14:paraId="6B1EDE57" w14:textId="22629562" w:rsidR="007605C8" w:rsidRDefault="007605C8" w:rsidP="00E25877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Table index</w:t>
            </w:r>
          </w:p>
        </w:tc>
        <w:tc>
          <w:tcPr>
            <w:tcW w:w="3883" w:type="dxa"/>
          </w:tcPr>
          <w:p w14:paraId="1A44AC70" w14:textId="565B3043" w:rsidR="007605C8" w:rsidRDefault="007605C8" w:rsidP="00E25877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QCI packet delay budget scaling factor</w:t>
            </w:r>
          </w:p>
        </w:tc>
      </w:tr>
      <w:tr w:rsidR="00B305D3" w14:paraId="428E4665" w14:textId="77777777" w:rsidTr="00E25877">
        <w:tc>
          <w:tcPr>
            <w:tcW w:w="1362" w:type="dxa"/>
          </w:tcPr>
          <w:p w14:paraId="1434208F" w14:textId="31BB203F" w:rsidR="00B305D3" w:rsidRDefault="007605C8" w:rsidP="00E25877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883" w:type="dxa"/>
          </w:tcPr>
          <w:p w14:paraId="2ED1D2BC" w14:textId="04055E55" w:rsidR="00B305D3" w:rsidRDefault="00B305D3" w:rsidP="00E25877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0.25</w:t>
            </w:r>
          </w:p>
        </w:tc>
      </w:tr>
      <w:tr w:rsidR="00B305D3" w14:paraId="55A869EC" w14:textId="77777777" w:rsidTr="00E25877">
        <w:tc>
          <w:tcPr>
            <w:tcW w:w="1362" w:type="dxa"/>
          </w:tcPr>
          <w:p w14:paraId="672F7132" w14:textId="172C69A9" w:rsidR="00B305D3" w:rsidRDefault="007605C8" w:rsidP="00E25877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883" w:type="dxa"/>
          </w:tcPr>
          <w:p w14:paraId="22168992" w14:textId="0C669055" w:rsidR="00B305D3" w:rsidRDefault="00B305D3" w:rsidP="00E25877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</w:tc>
      </w:tr>
      <w:tr w:rsidR="007605C8" w14:paraId="527AB795" w14:textId="77777777" w:rsidTr="00E25877">
        <w:tc>
          <w:tcPr>
            <w:tcW w:w="1362" w:type="dxa"/>
          </w:tcPr>
          <w:p w14:paraId="38F4724E" w14:textId="4C1DEB78" w:rsidR="007605C8" w:rsidRDefault="007605C8" w:rsidP="00E25877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883" w:type="dxa"/>
          </w:tcPr>
          <w:p w14:paraId="14D1DF93" w14:textId="78177E1A" w:rsidR="007605C8" w:rsidRDefault="007605C8" w:rsidP="00E25877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0.75</w:t>
            </w:r>
          </w:p>
        </w:tc>
      </w:tr>
      <w:tr w:rsidR="007605C8" w14:paraId="4E5367F6" w14:textId="77777777" w:rsidTr="00E25877">
        <w:tc>
          <w:tcPr>
            <w:tcW w:w="1362" w:type="dxa"/>
          </w:tcPr>
          <w:p w14:paraId="48E1BD46" w14:textId="28E959D4" w:rsidR="007605C8" w:rsidRDefault="007605C8" w:rsidP="00E25877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883" w:type="dxa"/>
          </w:tcPr>
          <w:p w14:paraId="172700B9" w14:textId="13847207" w:rsidR="007605C8" w:rsidRDefault="007605C8" w:rsidP="00E25877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</w:tr>
      <w:tr w:rsidR="007605C8" w14:paraId="032C5666" w14:textId="77777777" w:rsidTr="00E25877">
        <w:tc>
          <w:tcPr>
            <w:tcW w:w="1362" w:type="dxa"/>
          </w:tcPr>
          <w:p w14:paraId="70C82F64" w14:textId="7CCD8A53" w:rsidR="007605C8" w:rsidRDefault="007605C8" w:rsidP="00E25877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883" w:type="dxa"/>
          </w:tcPr>
          <w:p w14:paraId="4ACF062A" w14:textId="5824C9C0" w:rsidR="007605C8" w:rsidRDefault="007605C8" w:rsidP="00E25877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1.25</w:t>
            </w:r>
          </w:p>
        </w:tc>
      </w:tr>
      <w:tr w:rsidR="007605C8" w14:paraId="41AF4303" w14:textId="77777777" w:rsidTr="00E25877">
        <w:tc>
          <w:tcPr>
            <w:tcW w:w="1362" w:type="dxa"/>
          </w:tcPr>
          <w:p w14:paraId="56FB3210" w14:textId="7096DC97" w:rsidR="007605C8" w:rsidRDefault="007605C8" w:rsidP="00E25877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883" w:type="dxa"/>
          </w:tcPr>
          <w:p w14:paraId="7DBC73B1" w14:textId="452C71B2" w:rsidR="007605C8" w:rsidRDefault="007605C8" w:rsidP="00E25877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</w:tr>
      <w:tr w:rsidR="007605C8" w14:paraId="210414C6" w14:textId="77777777" w:rsidTr="00E25877">
        <w:tc>
          <w:tcPr>
            <w:tcW w:w="1362" w:type="dxa"/>
          </w:tcPr>
          <w:p w14:paraId="7BAAB1B6" w14:textId="67BA1CC5" w:rsidR="007605C8" w:rsidRDefault="007605C8" w:rsidP="00E25877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3883" w:type="dxa"/>
          </w:tcPr>
          <w:p w14:paraId="5E709B56" w14:textId="79C1618C" w:rsidR="007605C8" w:rsidRDefault="007605C8" w:rsidP="00E25877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1.75</w:t>
            </w:r>
          </w:p>
        </w:tc>
      </w:tr>
      <w:tr w:rsidR="007605C8" w14:paraId="14953789" w14:textId="77777777" w:rsidTr="00E25877">
        <w:tc>
          <w:tcPr>
            <w:tcW w:w="1362" w:type="dxa"/>
          </w:tcPr>
          <w:p w14:paraId="349DC44D" w14:textId="3AA33E6E" w:rsidR="007605C8" w:rsidRDefault="007605C8" w:rsidP="00E25877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3883" w:type="dxa"/>
          </w:tcPr>
          <w:p w14:paraId="238085AE" w14:textId="3C72E5D3" w:rsidR="007605C8" w:rsidRDefault="007605C8" w:rsidP="00E25877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</w:tbl>
    <w:p w14:paraId="5A3D7733" w14:textId="77777777" w:rsidR="00B305D3" w:rsidRDefault="00B305D3" w:rsidP="000024CF">
      <w:pPr>
        <w:rPr>
          <w:lang w:val="en-US"/>
        </w:rPr>
      </w:pPr>
    </w:p>
    <w:p w14:paraId="7DC5F576" w14:textId="78CB429D" w:rsidR="000024CF" w:rsidRPr="00167BCD" w:rsidRDefault="000024CF" w:rsidP="002E78F2">
      <w:pPr>
        <w:rPr>
          <w:lang w:val="en-US"/>
        </w:rPr>
      </w:pPr>
      <w:r>
        <w:rPr>
          <w:lang w:val="en-US"/>
        </w:rPr>
        <w:t xml:space="preserve">As an example, if the UE measures a delay of 40 ms in excess of the </w:t>
      </w:r>
      <w:r w:rsidR="0025414D">
        <w:rPr>
          <w:lang w:val="en-US"/>
        </w:rPr>
        <w:t xml:space="preserve">service requirements of the </w:t>
      </w:r>
      <w:r>
        <w:rPr>
          <w:lang w:val="en-US"/>
        </w:rPr>
        <w:t>round-trip delay target and the packet delay budget of the established QCI is 80 ms (QCI1), it may signal the value 0.5 to the eNB.</w:t>
      </w:r>
      <w:r w:rsidR="003B392C">
        <w:rPr>
          <w:lang w:val="en-US"/>
        </w:rPr>
        <w:t xml:space="preserve"> The respective </w:t>
      </w:r>
      <w:r w:rsidR="00087A7D">
        <w:rPr>
          <w:lang w:val="en-US"/>
        </w:rPr>
        <w:t>eNB may then use this information to decide on possibly modifying the packet treatment accordingly.</w:t>
      </w:r>
    </w:p>
    <w:p w14:paraId="55227BD8" w14:textId="5EAA55F0" w:rsidR="00123B30" w:rsidRDefault="000024CF" w:rsidP="006D7CDA">
      <w:pPr>
        <w:rPr>
          <w:lang w:val="en-US"/>
        </w:rPr>
      </w:pPr>
      <w:r>
        <w:rPr>
          <w:lang w:val="en-US"/>
        </w:rPr>
        <w:t>Similarly, if the UE measures a</w:t>
      </w:r>
      <w:r w:rsidR="0025414D">
        <w:rPr>
          <w:lang w:val="en-US"/>
        </w:rPr>
        <w:t xml:space="preserve"> delay of 40 ms below the service requirements of the </w:t>
      </w:r>
      <w:r>
        <w:rPr>
          <w:lang w:val="en-US"/>
        </w:rPr>
        <w:t>round-trip delay</w:t>
      </w:r>
      <w:r w:rsidR="0025414D">
        <w:rPr>
          <w:lang w:val="en-US"/>
        </w:rPr>
        <w:t xml:space="preserve"> and the packet delay budget of the established QCI is 80 ms (QCI1), it may si</w:t>
      </w:r>
      <w:r w:rsidR="00123B30">
        <w:rPr>
          <w:lang w:val="en-US"/>
        </w:rPr>
        <w:t xml:space="preserve">gnal the value 1.5 to the eNB. </w:t>
      </w:r>
    </w:p>
    <w:p w14:paraId="2A937E6A" w14:textId="77777777" w:rsidR="00A870DA" w:rsidRPr="00F72F3D" w:rsidRDefault="00A870DA" w:rsidP="00A870DA">
      <w:pPr>
        <w:rPr>
          <w:lang w:val="en-US"/>
        </w:rPr>
      </w:pPr>
    </w:p>
    <w:p w14:paraId="776573CF" w14:textId="6C50FF25" w:rsidR="00A870DA" w:rsidRDefault="00A870DA" w:rsidP="00A870DA">
      <w:pPr>
        <w:pStyle w:val="Proposal"/>
        <w:rPr>
          <w:lang w:val="en-US"/>
        </w:rPr>
      </w:pPr>
      <w:bookmarkStart w:id="4" w:name="_Toc465445115"/>
      <w:bookmarkStart w:id="5" w:name="_Toc465773367"/>
      <w:bookmarkStart w:id="6" w:name="_Toc465845739"/>
      <w:bookmarkStart w:id="7" w:name="_Toc465976670"/>
      <w:bookmarkStart w:id="8" w:name="_Toc465976864"/>
      <w:bookmarkStart w:id="9" w:name="_Toc465976930"/>
      <w:r>
        <w:rPr>
          <w:lang w:val="en-US"/>
        </w:rPr>
        <w:t xml:space="preserve">Introduce MAC signaling </w:t>
      </w:r>
      <w:r w:rsidRPr="00A870DA">
        <w:rPr>
          <w:lang w:val="en-US"/>
        </w:rPr>
        <w:t>for UE to eNB information exchange on delay budget recommendation</w:t>
      </w:r>
      <w:r>
        <w:rPr>
          <w:lang w:val="en-US"/>
        </w:rPr>
        <w:t xml:space="preserve"> as described above</w:t>
      </w:r>
      <w:r>
        <w:t>.</w:t>
      </w:r>
      <w:bookmarkEnd w:id="4"/>
      <w:bookmarkEnd w:id="5"/>
      <w:bookmarkEnd w:id="6"/>
      <w:bookmarkEnd w:id="7"/>
      <w:bookmarkEnd w:id="8"/>
      <w:bookmarkEnd w:id="9"/>
    </w:p>
    <w:p w14:paraId="3AFD4B0E" w14:textId="2C07D4BF" w:rsidR="00002554" w:rsidRDefault="00002554" w:rsidP="00F47EAE">
      <w:pPr>
        <w:rPr>
          <w:lang w:val="en-US"/>
        </w:rPr>
      </w:pPr>
    </w:p>
    <w:p w14:paraId="7E690B51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4949B80B" w14:textId="77777777" w:rsidR="00E25877" w:rsidRPr="00E25877" w:rsidRDefault="00B4601A" w:rsidP="00E25877">
      <w:pPr>
        <w:pStyle w:val="TOC1"/>
        <w:ind w:left="0" w:firstLine="0"/>
        <w:rPr>
          <w:b w:val="0"/>
        </w:rPr>
      </w:pPr>
      <w:r w:rsidRPr="00E25877">
        <w:rPr>
          <w:b w:val="0"/>
        </w:rPr>
        <w:t>In this contribution we discuss the potential interaction between the UE and the eNB with respect to the air interface delay budget.</w:t>
      </w:r>
    </w:p>
    <w:p w14:paraId="640F23D1" w14:textId="17D00BB9" w:rsidR="00E25877" w:rsidRDefault="008E065E" w:rsidP="00E25877">
      <w:pPr>
        <w:pStyle w:val="TOC1"/>
        <w:ind w:left="0" w:firstLine="0"/>
        <w:rPr>
          <w:b w:val="0"/>
        </w:rPr>
      </w:pPr>
      <w:r w:rsidRPr="00E25877">
        <w:rPr>
          <w:b w:val="0"/>
        </w:rPr>
        <w:t xml:space="preserve">Based on the discussion in section </w:t>
      </w:r>
      <w:r w:rsidRPr="00E25877">
        <w:rPr>
          <w:b w:val="0"/>
        </w:rPr>
        <w:fldChar w:fldCharType="begin"/>
      </w:r>
      <w:r w:rsidRPr="00E25877">
        <w:rPr>
          <w:b w:val="0"/>
        </w:rPr>
        <w:instrText xml:space="preserve"> REF _Ref178064866 \r \h </w:instrText>
      </w:r>
      <w:r w:rsidR="00B20FF7" w:rsidRPr="00E25877">
        <w:rPr>
          <w:b w:val="0"/>
        </w:rPr>
        <w:instrText xml:space="preserve"> \* MERGEFORMAT </w:instrText>
      </w:r>
      <w:r w:rsidRPr="00E25877">
        <w:rPr>
          <w:b w:val="0"/>
        </w:rPr>
      </w:r>
      <w:r w:rsidRPr="00E25877">
        <w:rPr>
          <w:b w:val="0"/>
        </w:rPr>
        <w:fldChar w:fldCharType="separate"/>
      </w:r>
      <w:r w:rsidR="00AB12AC">
        <w:rPr>
          <w:b w:val="0"/>
        </w:rPr>
        <w:t>2</w:t>
      </w:r>
      <w:r w:rsidRPr="00E25877">
        <w:rPr>
          <w:b w:val="0"/>
        </w:rPr>
        <w:fldChar w:fldCharType="end"/>
      </w:r>
      <w:r w:rsidRPr="00E25877">
        <w:rPr>
          <w:b w:val="0"/>
        </w:rPr>
        <w:t xml:space="preserve"> we propose the following:</w:t>
      </w:r>
    </w:p>
    <w:p w14:paraId="235E71E7" w14:textId="77777777" w:rsidR="00695D57" w:rsidRPr="00E25877" w:rsidRDefault="00695D57" w:rsidP="00E25877">
      <w:pPr>
        <w:pStyle w:val="TOC1"/>
        <w:ind w:left="0" w:firstLine="0"/>
        <w:rPr>
          <w:b w:val="0"/>
        </w:rPr>
      </w:pPr>
    </w:p>
    <w:p w14:paraId="03804FEE" w14:textId="77777777" w:rsidR="00AB12AC" w:rsidRPr="003A19FC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E25877">
        <w:rPr>
          <w:b w:val="0"/>
          <w:bCs/>
          <w:highlight w:val="yellow"/>
        </w:rPr>
        <w:fldChar w:fldCharType="begin"/>
      </w:r>
      <w:r w:rsidRPr="00E25877">
        <w:rPr>
          <w:b w:val="0"/>
          <w:bCs/>
          <w:highlight w:val="yellow"/>
        </w:rPr>
        <w:instrText xml:space="preserve"> TOC \f \n \p " " \t "Proposal;1" </w:instrText>
      </w:r>
      <w:r w:rsidRPr="00E25877">
        <w:rPr>
          <w:b w:val="0"/>
          <w:bCs/>
          <w:highlight w:val="yellow"/>
        </w:rPr>
        <w:fldChar w:fldCharType="separate"/>
      </w:r>
      <w:r w:rsidR="00AB12AC" w:rsidRPr="00CE709A">
        <w:t>Proposal 1</w:t>
      </w:r>
      <w:r w:rsidR="00AB12AC" w:rsidRPr="003A19F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AB12AC" w:rsidRPr="00CE709A">
        <w:t>Introduce MAC signaling for UE to eNB information exchange on delay budget recommendation as described above</w:t>
      </w:r>
      <w:r w:rsidR="00AB12AC">
        <w:t>.</w:t>
      </w:r>
    </w:p>
    <w:p w14:paraId="0C30B33E" w14:textId="77777777" w:rsidR="00311702" w:rsidRPr="00D04434" w:rsidRDefault="008E065E" w:rsidP="00AB0BC8">
      <w:pPr>
        <w:rPr>
          <w:b/>
          <w:bCs/>
        </w:rPr>
      </w:pPr>
      <w:r w:rsidRPr="00E25877">
        <w:rPr>
          <w:b/>
          <w:bCs/>
          <w:highlight w:val="yellow"/>
        </w:rPr>
        <w:fldChar w:fldCharType="end"/>
      </w:r>
    </w:p>
    <w:p w14:paraId="43591C01" w14:textId="77777777" w:rsidR="00C01F33" w:rsidRPr="00CE0424" w:rsidRDefault="00C01F33" w:rsidP="006E062C"/>
    <w:p w14:paraId="4C9431F6" w14:textId="77777777" w:rsidR="00F507D1" w:rsidRPr="00CE0424" w:rsidRDefault="00F507D1" w:rsidP="00CE0424">
      <w:pPr>
        <w:pStyle w:val="Heading1"/>
      </w:pPr>
      <w:bookmarkStart w:id="10" w:name="_In-sequence_SDU_delivery"/>
      <w:bookmarkEnd w:id="10"/>
      <w:r w:rsidRPr="00CE0424">
        <w:t>References</w:t>
      </w:r>
    </w:p>
    <w:p w14:paraId="14B15754" w14:textId="77777777" w:rsidR="006833DA" w:rsidRDefault="006833DA" w:rsidP="006833DA">
      <w:pPr>
        <w:pStyle w:val="Reference"/>
        <w:numPr>
          <w:ilvl w:val="0"/>
          <w:numId w:val="16"/>
        </w:numPr>
        <w:textAlignment w:val="auto"/>
      </w:pPr>
      <w:bookmarkStart w:id="11" w:name="_Ref462667309"/>
      <w:bookmarkStart w:id="12" w:name="_Ref174151459"/>
      <w:bookmarkStart w:id="13" w:name="_Ref189809556"/>
      <w:r>
        <w:t>RP-161815, “New Work Item on Voice and Video enhancement for LTE”, CMCC, Huawei, China Telecom</w:t>
      </w:r>
      <w:bookmarkEnd w:id="11"/>
    </w:p>
    <w:p w14:paraId="7AA6E6A4" w14:textId="46A28F37" w:rsidR="003A7EF3" w:rsidRDefault="006833DA" w:rsidP="00CE0424">
      <w:pPr>
        <w:pStyle w:val="Reference"/>
        <w:numPr>
          <w:ilvl w:val="0"/>
          <w:numId w:val="16"/>
        </w:numPr>
        <w:textAlignment w:val="auto"/>
      </w:pPr>
      <w:bookmarkStart w:id="14" w:name="_Ref462667577"/>
      <w:r>
        <w:t>3GPP TR 36.750, “Study on Voice and Video enhancement for LTE”</w:t>
      </w:r>
      <w:bookmarkEnd w:id="12"/>
      <w:bookmarkEnd w:id="13"/>
      <w:bookmarkEnd w:id="14"/>
    </w:p>
    <w:p w14:paraId="6429C42D" w14:textId="520D603B" w:rsidR="00E43A36" w:rsidRDefault="00E43A36" w:rsidP="00E43A36">
      <w:pPr>
        <w:pStyle w:val="Reference"/>
        <w:numPr>
          <w:ilvl w:val="0"/>
          <w:numId w:val="16"/>
        </w:numPr>
        <w:textAlignment w:val="auto"/>
      </w:pPr>
      <w:bookmarkStart w:id="15" w:name="_Ref465671338"/>
      <w:r w:rsidRPr="00E43A36">
        <w:t>R2-166756</w:t>
      </w:r>
      <w:r>
        <w:t>, “</w:t>
      </w:r>
      <w:r w:rsidRPr="00E43A36">
        <w:t>Consideration on delay budget reporting</w:t>
      </w:r>
      <w:r>
        <w:t>”, Huawei, HiSilicon</w:t>
      </w:r>
      <w:bookmarkEnd w:id="15"/>
    </w:p>
    <w:p w14:paraId="6631A427" w14:textId="275BFC44" w:rsidR="0046045B" w:rsidRDefault="0046045B" w:rsidP="003A19FC">
      <w:pPr>
        <w:pStyle w:val="Reference"/>
        <w:numPr>
          <w:ilvl w:val="0"/>
          <w:numId w:val="16"/>
        </w:numPr>
        <w:textAlignment w:val="auto"/>
      </w:pPr>
      <w:r>
        <w:t>R2-167086, “Air interface delay budget”, Ericsson</w:t>
      </w:r>
      <w:bookmarkStart w:id="16" w:name="_Ref465976962"/>
    </w:p>
    <w:p w14:paraId="75F954A2" w14:textId="10BC156B" w:rsidR="00E43A36" w:rsidRDefault="00E43A36" w:rsidP="00E43A36">
      <w:pPr>
        <w:pStyle w:val="Reference"/>
        <w:numPr>
          <w:ilvl w:val="0"/>
          <w:numId w:val="16"/>
        </w:numPr>
        <w:textAlignment w:val="auto"/>
      </w:pPr>
      <w:bookmarkStart w:id="17" w:name="_Ref465671634"/>
      <w:bookmarkEnd w:id="16"/>
      <w:r w:rsidRPr="00E43A36">
        <w:t>R2-167076</w:t>
      </w:r>
      <w:r>
        <w:t>, “</w:t>
      </w:r>
      <w:r w:rsidRPr="00E43A36">
        <w:t>UE Indication of Shortened C-DRX Cycle for VoLTE</w:t>
      </w:r>
      <w:r>
        <w:t>”, Qualcomm Inc.</w:t>
      </w:r>
      <w:bookmarkEnd w:id="17"/>
    </w:p>
    <w:p w14:paraId="1A8E56AE" w14:textId="5FA679B9" w:rsidR="00A619B2" w:rsidRPr="00CE0424" w:rsidRDefault="00A619B2" w:rsidP="00E43A36">
      <w:pPr>
        <w:pStyle w:val="Reference"/>
        <w:numPr>
          <w:ilvl w:val="0"/>
          <w:numId w:val="16"/>
        </w:numPr>
        <w:textAlignment w:val="auto"/>
      </w:pPr>
      <w:bookmarkStart w:id="18" w:name="_Ref466037766"/>
      <w:bookmarkStart w:id="19" w:name="_GoBack"/>
      <w:bookmarkEnd w:id="19"/>
      <w:r w:rsidRPr="00704D24">
        <w:t xml:space="preserve">3GPP TR 23.203, </w:t>
      </w:r>
      <w:r>
        <w:t>“</w:t>
      </w:r>
      <w:r w:rsidRPr="00704D24">
        <w:t>Policy and charging control architecture</w:t>
      </w:r>
      <w:r>
        <w:t>”, Table 6.1.7.</w:t>
      </w:r>
      <w:bookmarkEnd w:id="18"/>
    </w:p>
    <w:sectPr w:rsidR="00A619B2" w:rsidRPr="00CE042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0AB0E2" w14:textId="77777777" w:rsidR="00183FC4" w:rsidRDefault="00183FC4">
      <w:r>
        <w:separator/>
      </w:r>
    </w:p>
  </w:endnote>
  <w:endnote w:type="continuationSeparator" w:id="0">
    <w:p w14:paraId="0D37D64A" w14:textId="77777777" w:rsidR="00183FC4" w:rsidRDefault="00183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16995D3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2FD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62FD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704237" w14:textId="77777777" w:rsidR="00183FC4" w:rsidRDefault="00183FC4">
      <w:r>
        <w:separator/>
      </w:r>
    </w:p>
  </w:footnote>
  <w:footnote w:type="continuationSeparator" w:id="0">
    <w:p w14:paraId="7D8CB870" w14:textId="77777777" w:rsidR="00183FC4" w:rsidRDefault="00183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464424"/>
    <w:multiLevelType w:val="hybridMultilevel"/>
    <w:tmpl w:val="B5F85C0C"/>
    <w:lvl w:ilvl="0" w:tplc="CED8C3C4">
      <w:start w:val="1"/>
      <w:numFmt w:val="decimal"/>
      <w:lvlText w:val="%1."/>
      <w:lvlJc w:val="left"/>
      <w:pPr>
        <w:ind w:left="930" w:hanging="57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5650D"/>
    <w:multiLevelType w:val="hybridMultilevel"/>
    <w:tmpl w:val="DD3273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8ECF78E">
      <w:start w:val="1"/>
      <w:numFmt w:val="lowerLetter"/>
      <w:lvlText w:val="%2."/>
      <w:lvlJc w:val="left"/>
      <w:pPr>
        <w:ind w:left="1440" w:hanging="360"/>
      </w:pPr>
      <w:rPr>
        <w:rFonts w:cs="Times New Roman"/>
        <w:lang w:val="en-GB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1E12"/>
    <w:rsid w:val="000024CF"/>
    <w:rsid w:val="00002554"/>
    <w:rsid w:val="00002A37"/>
    <w:rsid w:val="00006446"/>
    <w:rsid w:val="00006896"/>
    <w:rsid w:val="00006B58"/>
    <w:rsid w:val="00007CDC"/>
    <w:rsid w:val="00011B28"/>
    <w:rsid w:val="00015D15"/>
    <w:rsid w:val="00024209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A7D"/>
    <w:rsid w:val="0009009F"/>
    <w:rsid w:val="00091557"/>
    <w:rsid w:val="000924C1"/>
    <w:rsid w:val="000924F0"/>
    <w:rsid w:val="00093474"/>
    <w:rsid w:val="0009510F"/>
    <w:rsid w:val="000A1B7B"/>
    <w:rsid w:val="000A56F2"/>
    <w:rsid w:val="000B2412"/>
    <w:rsid w:val="000B2719"/>
    <w:rsid w:val="000B3A8F"/>
    <w:rsid w:val="000B4AB9"/>
    <w:rsid w:val="000B58C3"/>
    <w:rsid w:val="000B61E9"/>
    <w:rsid w:val="000C165A"/>
    <w:rsid w:val="000C2E19"/>
    <w:rsid w:val="000C7B43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973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3B30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3A8"/>
    <w:rsid w:val="001659C1"/>
    <w:rsid w:val="00167BCD"/>
    <w:rsid w:val="00173A8E"/>
    <w:rsid w:val="00177795"/>
    <w:rsid w:val="001779E9"/>
    <w:rsid w:val="0018143F"/>
    <w:rsid w:val="00183FC4"/>
    <w:rsid w:val="00190AC1"/>
    <w:rsid w:val="0019341A"/>
    <w:rsid w:val="00197DF9"/>
    <w:rsid w:val="001A1987"/>
    <w:rsid w:val="001A2564"/>
    <w:rsid w:val="001A6173"/>
    <w:rsid w:val="001A6CBA"/>
    <w:rsid w:val="001B0D97"/>
    <w:rsid w:val="001B3761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414D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728"/>
    <w:rsid w:val="00296F44"/>
    <w:rsid w:val="0029777D"/>
    <w:rsid w:val="002A055E"/>
    <w:rsid w:val="002A1D4E"/>
    <w:rsid w:val="002A2869"/>
    <w:rsid w:val="002B24D6"/>
    <w:rsid w:val="002C41E6"/>
    <w:rsid w:val="002D071A"/>
    <w:rsid w:val="002D32EA"/>
    <w:rsid w:val="002D34B2"/>
    <w:rsid w:val="002D7637"/>
    <w:rsid w:val="002E17F2"/>
    <w:rsid w:val="002E1CC8"/>
    <w:rsid w:val="002E78F2"/>
    <w:rsid w:val="002E7CAE"/>
    <w:rsid w:val="002F2771"/>
    <w:rsid w:val="002F37A9"/>
    <w:rsid w:val="003011F0"/>
    <w:rsid w:val="00301CE6"/>
    <w:rsid w:val="0030256B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70E47"/>
    <w:rsid w:val="00374214"/>
    <w:rsid w:val="003742AC"/>
    <w:rsid w:val="00377CE1"/>
    <w:rsid w:val="00385BF0"/>
    <w:rsid w:val="003939FF"/>
    <w:rsid w:val="003A19FC"/>
    <w:rsid w:val="003A2223"/>
    <w:rsid w:val="003A2A0F"/>
    <w:rsid w:val="003A45A1"/>
    <w:rsid w:val="003A5B0A"/>
    <w:rsid w:val="003A6BAC"/>
    <w:rsid w:val="003A7EF3"/>
    <w:rsid w:val="003B1450"/>
    <w:rsid w:val="003B159C"/>
    <w:rsid w:val="003B369F"/>
    <w:rsid w:val="003B36A3"/>
    <w:rsid w:val="003B392C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2EC9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045B"/>
    <w:rsid w:val="00465F3A"/>
    <w:rsid w:val="004669E2"/>
    <w:rsid w:val="0047074E"/>
    <w:rsid w:val="00470C31"/>
    <w:rsid w:val="004734D0"/>
    <w:rsid w:val="0047556B"/>
    <w:rsid w:val="00477768"/>
    <w:rsid w:val="00487069"/>
    <w:rsid w:val="00492BC5"/>
    <w:rsid w:val="004964F1"/>
    <w:rsid w:val="004A16BC"/>
    <w:rsid w:val="004A2B94"/>
    <w:rsid w:val="004B2AD6"/>
    <w:rsid w:val="004B7C0C"/>
    <w:rsid w:val="004C3898"/>
    <w:rsid w:val="004D36B1"/>
    <w:rsid w:val="004D7EBD"/>
    <w:rsid w:val="004E2680"/>
    <w:rsid w:val="004E28F9"/>
    <w:rsid w:val="004E292A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1534"/>
    <w:rsid w:val="005335AA"/>
    <w:rsid w:val="005338D0"/>
    <w:rsid w:val="00534B59"/>
    <w:rsid w:val="00536759"/>
    <w:rsid w:val="00537C62"/>
    <w:rsid w:val="00546970"/>
    <w:rsid w:val="00554E19"/>
    <w:rsid w:val="0056121F"/>
    <w:rsid w:val="00572505"/>
    <w:rsid w:val="005766A7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2D2C"/>
    <w:rsid w:val="005B35D7"/>
    <w:rsid w:val="005B392A"/>
    <w:rsid w:val="005B3AA3"/>
    <w:rsid w:val="005B6F83"/>
    <w:rsid w:val="005C74FB"/>
    <w:rsid w:val="005C7FB6"/>
    <w:rsid w:val="005D1602"/>
    <w:rsid w:val="005D75AB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2A72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3DA"/>
    <w:rsid w:val="00683ECE"/>
    <w:rsid w:val="00685F40"/>
    <w:rsid w:val="006908CA"/>
    <w:rsid w:val="00695D57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6BF"/>
    <w:rsid w:val="006B50CF"/>
    <w:rsid w:val="006C03B8"/>
    <w:rsid w:val="006C5EC9"/>
    <w:rsid w:val="006C6059"/>
    <w:rsid w:val="006C7522"/>
    <w:rsid w:val="006D1B7D"/>
    <w:rsid w:val="006D6F08"/>
    <w:rsid w:val="006D7CDA"/>
    <w:rsid w:val="006E062C"/>
    <w:rsid w:val="006E28B7"/>
    <w:rsid w:val="006E2D1E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05C8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7D2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3EA3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177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46D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6E08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71A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19B2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70DA"/>
    <w:rsid w:val="00A92879"/>
    <w:rsid w:val="00A9442A"/>
    <w:rsid w:val="00AA016F"/>
    <w:rsid w:val="00AA1ED6"/>
    <w:rsid w:val="00AA51D6"/>
    <w:rsid w:val="00AA7039"/>
    <w:rsid w:val="00AB000D"/>
    <w:rsid w:val="00AB0BC8"/>
    <w:rsid w:val="00AB11CA"/>
    <w:rsid w:val="00AB12AC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24F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0FF7"/>
    <w:rsid w:val="00B236D9"/>
    <w:rsid w:val="00B2763F"/>
    <w:rsid w:val="00B27AAC"/>
    <w:rsid w:val="00B305D3"/>
    <w:rsid w:val="00B30929"/>
    <w:rsid w:val="00B372AA"/>
    <w:rsid w:val="00B40445"/>
    <w:rsid w:val="00B41888"/>
    <w:rsid w:val="00B422FB"/>
    <w:rsid w:val="00B42BDB"/>
    <w:rsid w:val="00B45A52"/>
    <w:rsid w:val="00B4601A"/>
    <w:rsid w:val="00B46175"/>
    <w:rsid w:val="00B62AAA"/>
    <w:rsid w:val="00B664C7"/>
    <w:rsid w:val="00B739F6"/>
    <w:rsid w:val="00B80024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53E5"/>
    <w:rsid w:val="00C26FAA"/>
    <w:rsid w:val="00C279B5"/>
    <w:rsid w:val="00C27C45"/>
    <w:rsid w:val="00C3719D"/>
    <w:rsid w:val="00C54995"/>
    <w:rsid w:val="00C54D41"/>
    <w:rsid w:val="00C60783"/>
    <w:rsid w:val="00C62FD9"/>
    <w:rsid w:val="00C64672"/>
    <w:rsid w:val="00C70697"/>
    <w:rsid w:val="00C72EF4"/>
    <w:rsid w:val="00C73F93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1CC5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6615E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1331"/>
    <w:rsid w:val="00DA305E"/>
    <w:rsid w:val="00DA5007"/>
    <w:rsid w:val="00DA5417"/>
    <w:rsid w:val="00DA56E8"/>
    <w:rsid w:val="00DA658A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5877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3A36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D2CEE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68D5"/>
    <w:rsid w:val="00F4766C"/>
    <w:rsid w:val="00F47EAE"/>
    <w:rsid w:val="00F507D1"/>
    <w:rsid w:val="00F50E05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32A"/>
    <w:rsid w:val="00F9056A"/>
    <w:rsid w:val="00F90F8D"/>
    <w:rsid w:val="00F92782"/>
    <w:rsid w:val="00F93AA9"/>
    <w:rsid w:val="00F94925"/>
    <w:rsid w:val="00F96985"/>
    <w:rsid w:val="00F97838"/>
    <w:rsid w:val="00FA2BB3"/>
    <w:rsid w:val="00FB4C80"/>
    <w:rsid w:val="00FB6A6A"/>
    <w:rsid w:val="00FB7BEC"/>
    <w:rsid w:val="00FC2A41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2BDF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B305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9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65997-53AB-4B56-BD6A-369FCBF7E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287</TotalTime>
  <Pages>4</Pages>
  <Words>1073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 User - NB-IoT</cp:lastModifiedBy>
  <cp:revision>56</cp:revision>
  <cp:lastPrinted>2016-10-31T11:35:00Z</cp:lastPrinted>
  <dcterms:created xsi:type="dcterms:W3CDTF">2016-09-07T05:59:00Z</dcterms:created>
  <dcterms:modified xsi:type="dcterms:W3CDTF">2016-11-05T03:47:00Z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